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72.2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находить и использовать необходимую для саморазвития и взаимодействия с другими информацию о культурных особенностях и традициях различных социальных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владеть навыком демонстрировать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«Философия» относится к обязательной части, является дисциплиной Блока Б1. «Дисциплины (модули)». Мировоззренческий модуль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789.80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зарубежной литературы</w:t>
            </w:r>
          </w:p>
          <w:p>
            <w:pPr>
              <w:jc w:val="center"/>
              <w:spacing w:after="0" w:line="240" w:lineRule="auto"/>
              <w:rPr>
                <w:sz w:val="22"/>
                <w:szCs w:val="22"/>
              </w:rPr>
            </w:pPr>
            <w:r>
              <w:rPr>
                <w:rFonts w:ascii="Times New Roman" w:hAnsi="Times New Roman" w:cs="Times New Roman"/>
                <w:color w:val="#000000"/>
                <w:sz w:val="22"/>
                <w:szCs w:val="22"/>
              </w:rPr>
              <w:t> История русской литературы</w:t>
            </w:r>
          </w:p>
          <w:p>
            <w:pPr>
              <w:jc w:val="center"/>
              <w:spacing w:after="0" w:line="240" w:lineRule="auto"/>
              <w:rPr>
                <w:sz w:val="22"/>
                <w:szCs w:val="22"/>
              </w:rPr>
            </w:pPr>
            <w:r>
              <w:rPr>
                <w:rFonts w:ascii="Times New Roman" w:hAnsi="Times New Roman" w:cs="Times New Roman"/>
                <w:color w:val="#000000"/>
                <w:sz w:val="22"/>
                <w:szCs w:val="22"/>
              </w:rPr>
              <w:t> Литературоведческий анализ художественного текста</w:t>
            </w:r>
          </w:p>
          <w:p>
            <w:pPr>
              <w:jc w:val="center"/>
              <w:spacing w:after="0" w:line="240" w:lineRule="auto"/>
              <w:rPr>
                <w:sz w:val="22"/>
                <w:szCs w:val="22"/>
              </w:rPr>
            </w:pPr>
            <w:r>
              <w:rPr>
                <w:rFonts w:ascii="Times New Roman" w:hAnsi="Times New Roman" w:cs="Times New Roman"/>
                <w:color w:val="#000000"/>
                <w:sz w:val="22"/>
                <w:szCs w:val="22"/>
              </w:rPr>
              <w:t> Филологический анализ текста</w:t>
            </w:r>
          </w:p>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Педагогика</w:t>
            </w:r>
          </w:p>
          <w:p>
            <w:pPr>
              <w:jc w:val="center"/>
              <w:spacing w:after="0" w:line="240" w:lineRule="auto"/>
              <w:rPr>
                <w:sz w:val="22"/>
                <w:szCs w:val="22"/>
              </w:rPr>
            </w:pPr>
            <w:r>
              <w:rPr>
                <w:rFonts w:ascii="Times New Roman" w:hAnsi="Times New Roman" w:cs="Times New Roman"/>
                <w:color w:val="#000000"/>
                <w:sz w:val="22"/>
                <w:szCs w:val="22"/>
              </w:rPr>
              <w:t> Спецсеминар по отечественной и</w:t>
            </w:r>
          </w:p>
          <w:p>
            <w:pPr>
              <w:jc w:val="center"/>
              <w:spacing w:after="0" w:line="240" w:lineRule="auto"/>
              <w:rPr>
                <w:sz w:val="22"/>
                <w:szCs w:val="22"/>
              </w:rPr>
            </w:pPr>
            <w:r>
              <w:rPr>
                <w:rFonts w:ascii="Times New Roman" w:hAnsi="Times New Roman" w:cs="Times New Roman"/>
                <w:color w:val="#000000"/>
                <w:sz w:val="22"/>
                <w:szCs w:val="22"/>
              </w:rPr>
              <w:t> зарубежной литературе</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Спецсеминар по русской литературе</w:t>
            </w:r>
          </w:p>
          <w:p>
            <w:pPr>
              <w:jc w:val="center"/>
              <w:spacing w:after="0" w:line="240" w:lineRule="auto"/>
              <w:rPr>
                <w:sz w:val="22"/>
                <w:szCs w:val="22"/>
              </w:rPr>
            </w:pPr>
            <w:r>
              <w:rPr>
                <w:rFonts w:ascii="Times New Roman" w:hAnsi="Times New Roman" w:cs="Times New Roman"/>
                <w:color w:val="#000000"/>
                <w:sz w:val="22"/>
                <w:szCs w:val="22"/>
              </w:rPr>
              <w:t> Методология литературоведческих исследований</w:t>
            </w:r>
          </w:p>
          <w:p>
            <w:pPr>
              <w:jc w:val="center"/>
              <w:spacing w:after="0" w:line="240" w:lineRule="auto"/>
              <w:rPr>
                <w:sz w:val="22"/>
                <w:szCs w:val="22"/>
              </w:rPr>
            </w:pPr>
            <w:r>
              <w:rPr>
                <w:rFonts w:ascii="Times New Roman" w:hAnsi="Times New Roman" w:cs="Times New Roman"/>
                <w:color w:val="#000000"/>
                <w:sz w:val="22"/>
                <w:szCs w:val="22"/>
              </w:rPr>
              <w:t> Философия языка</w:t>
            </w:r>
          </w:p>
          <w:p>
            <w:pPr>
              <w:jc w:val="center"/>
              <w:spacing w:after="0" w:line="240" w:lineRule="auto"/>
              <w:rPr>
                <w:sz w:val="22"/>
                <w:szCs w:val="22"/>
              </w:rPr>
            </w:pPr>
            <w:r>
              <w:rPr>
                <w:rFonts w:ascii="Times New Roman" w:hAnsi="Times New Roman" w:cs="Times New Roman"/>
                <w:color w:val="#000000"/>
                <w:sz w:val="22"/>
                <w:szCs w:val="22"/>
              </w:rPr>
              <w:t> Риторика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972.69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261.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Аристотеля. Система категорий И. Канта. Система категорий Г. В. Ф. Гегеля.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473"/>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988.297"/>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579.1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268.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иЛ)(24)_plx_Философия</dc:title>
  <dc:creator>FastReport.NET</dc:creator>
</cp:coreProperties>
</file>